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2" w:type="dxa"/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7347"/>
      </w:tblGrid>
      <w:tr w:rsidR="00FD2F58" w14:paraId="5DC37566" w14:textId="77777777" w:rsidTr="003850BD">
        <w:trPr>
          <w:trHeight w:val="218"/>
        </w:trPr>
        <w:tc>
          <w:tcPr>
            <w:tcW w:w="1951" w:type="dxa"/>
          </w:tcPr>
          <w:p w14:paraId="657F2723" w14:textId="77777777" w:rsidR="00FD2F58" w:rsidRDefault="00FD2F5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5A0D65CB" w14:textId="77777777" w:rsidR="00FD2F58" w:rsidRDefault="00FD2F58" w:rsidP="00F15442">
            <w:pPr>
              <w:pStyle w:val="En-tte"/>
              <w:spacing w:before="60" w:after="60"/>
            </w:pPr>
          </w:p>
        </w:tc>
        <w:tc>
          <w:tcPr>
            <w:tcW w:w="7347" w:type="dxa"/>
            <w:vAlign w:val="center"/>
          </w:tcPr>
          <w:p w14:paraId="3E9597C3" w14:textId="77777777" w:rsidR="00FD2F58" w:rsidRDefault="00FD2F58" w:rsidP="00FD2F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Educa</w:t>
            </w:r>
            <w:r w:rsidR="00D760A8">
              <w:rPr>
                <w:b/>
                <w:sz w:val="24"/>
              </w:rPr>
              <w:t xml:space="preserve">tion nutritionnelle :                   </w:t>
            </w:r>
            <w:r>
              <w:rPr>
                <w:b/>
                <w:sz w:val="24"/>
              </w:rPr>
              <w:t xml:space="preserve"> </w:t>
            </w:r>
            <w:r w:rsidR="00D760A8">
              <w:rPr>
                <w:b/>
                <w:sz w:val="24"/>
              </w:rPr>
              <w:t xml:space="preserve">                      </w:t>
            </w:r>
            <w:r>
              <w:rPr>
                <w:b/>
                <w:sz w:val="24"/>
              </w:rPr>
              <w:t>Cycle 3 (CO)</w:t>
            </w:r>
          </w:p>
          <w:p w14:paraId="4F071528" w14:textId="7526BC96" w:rsidR="00D760A8" w:rsidRDefault="00D760A8" w:rsidP="00FD2F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Menus libres</w:t>
            </w:r>
          </w:p>
        </w:tc>
      </w:tr>
      <w:tr w:rsidR="00FD2F58" w14:paraId="36D307B3" w14:textId="77777777" w:rsidTr="003850BD">
        <w:tc>
          <w:tcPr>
            <w:tcW w:w="1951" w:type="dxa"/>
          </w:tcPr>
          <w:p w14:paraId="2E7BAA0A" w14:textId="77777777" w:rsidR="00FD2F58" w:rsidRDefault="00FD2F5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59370F42" w14:textId="77777777" w:rsidR="00FD2F58" w:rsidRDefault="00FD2F5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305137B6" w14:textId="77777777" w:rsidR="00FD2F58" w:rsidRDefault="00FD2F58" w:rsidP="00F15442">
            <w:pPr>
              <w:spacing w:before="60" w:after="60"/>
            </w:pPr>
          </w:p>
        </w:tc>
      </w:tr>
      <w:tr w:rsidR="00082198" w14:paraId="120F9837" w14:textId="77777777" w:rsidTr="003850BD">
        <w:tc>
          <w:tcPr>
            <w:tcW w:w="1951" w:type="dxa"/>
          </w:tcPr>
          <w:p w14:paraId="1F52C213" w14:textId="77777777" w:rsidR="00082198" w:rsidRDefault="0008219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44EC1297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67E4A430" w14:textId="063FC380" w:rsidR="00EA442F" w:rsidRDefault="00184481" w:rsidP="00082198">
            <w:pPr>
              <w:jc w:val="both"/>
            </w:pPr>
            <w:r>
              <w:t>Découvrir les notions de base</w:t>
            </w:r>
            <w:r w:rsidR="00FA733E">
              <w:t xml:space="preserve"> d’une alimentation équilibrée : appliquer ces notions en composant des menus sains, équilibrés et répondant aux exigences de chacun</w:t>
            </w:r>
            <w:r>
              <w:t>.</w:t>
            </w:r>
          </w:p>
          <w:p w14:paraId="2F9213D5" w14:textId="6DB4CAFF" w:rsidR="00FA733E" w:rsidRPr="00FA733E" w:rsidRDefault="00FA733E" w:rsidP="00082198">
            <w:pPr>
              <w:jc w:val="both"/>
            </w:pPr>
            <w:r>
              <w:t>Découvrir les achats et les produits de saison : analyser les critère</w:t>
            </w:r>
            <w:r w:rsidR="00184481">
              <w:t>s</w:t>
            </w:r>
            <w:r>
              <w:t xml:space="preserve"> pour le choix des produits, analyser les informations figurant sur un emballage, mettre en valeur les produits de proximité, de saison et du commerce équitable.</w:t>
            </w:r>
          </w:p>
        </w:tc>
      </w:tr>
      <w:tr w:rsidR="000D5876" w14:paraId="7F2D0EC2" w14:textId="77777777" w:rsidTr="003850BD">
        <w:tc>
          <w:tcPr>
            <w:tcW w:w="1951" w:type="dxa"/>
          </w:tcPr>
          <w:p w14:paraId="2D7C1EF4" w14:textId="497BA74B" w:rsidR="000D5876" w:rsidRDefault="000D5876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0DBC5461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0CFDC9A2" w14:textId="77777777" w:rsidR="000D5876" w:rsidRDefault="000D5876" w:rsidP="00082198">
            <w:pPr>
              <w:jc w:val="both"/>
              <w:rPr>
                <w:i/>
                <w:color w:val="FF0000"/>
              </w:rPr>
            </w:pPr>
          </w:p>
        </w:tc>
      </w:tr>
      <w:tr w:rsidR="00082198" w14:paraId="4C346C1F" w14:textId="77777777" w:rsidTr="003850BD">
        <w:tc>
          <w:tcPr>
            <w:tcW w:w="1951" w:type="dxa"/>
          </w:tcPr>
          <w:p w14:paraId="6DA39FF8" w14:textId="17E7C6DB" w:rsidR="00082198" w:rsidRDefault="00082198" w:rsidP="00F15442">
            <w:pPr>
              <w:pStyle w:val="Tabellerechtsbndigfett"/>
              <w:spacing w:before="60" w:after="60"/>
            </w:pPr>
            <w:r>
              <w:t>1. Objectif du PER</w:t>
            </w:r>
          </w:p>
        </w:tc>
        <w:tc>
          <w:tcPr>
            <w:tcW w:w="284" w:type="dxa"/>
            <w:vAlign w:val="center"/>
          </w:tcPr>
          <w:p w14:paraId="393CD2C6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239A09B7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>CM 36 exercer des savoir-faire culinaires et équilibrer son alimentation…</w:t>
            </w:r>
          </w:p>
          <w:p w14:paraId="6D6EBC23" w14:textId="1B991DAC" w:rsidR="00082198" w:rsidRPr="000D5876" w:rsidRDefault="00082198" w:rsidP="000D5876">
            <w:pPr>
              <w:numPr>
                <w:ilvl w:val="0"/>
                <w:numId w:val="2"/>
              </w:numPr>
            </w:pPr>
            <w:r>
              <w:t xml:space="preserve">CM 37 Opérer des choix en consommateur averti… </w:t>
            </w:r>
          </w:p>
        </w:tc>
      </w:tr>
      <w:tr w:rsidR="000D5876" w14:paraId="3A1C811F" w14:textId="77777777" w:rsidTr="003850BD">
        <w:tc>
          <w:tcPr>
            <w:tcW w:w="1951" w:type="dxa"/>
          </w:tcPr>
          <w:p w14:paraId="58BBBC29" w14:textId="77777777" w:rsidR="000D5876" w:rsidRDefault="000D5876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352E4664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4B4F3E79" w14:textId="77777777" w:rsidR="000D5876" w:rsidRDefault="000D5876" w:rsidP="000D5876">
            <w:pPr>
              <w:ind w:left="360"/>
            </w:pPr>
          </w:p>
        </w:tc>
      </w:tr>
      <w:tr w:rsidR="00082198" w14:paraId="1C3B51AB" w14:textId="77777777" w:rsidTr="003850BD">
        <w:tc>
          <w:tcPr>
            <w:tcW w:w="1951" w:type="dxa"/>
          </w:tcPr>
          <w:p w14:paraId="0D3A39D3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t>2. Composantes</w:t>
            </w:r>
          </w:p>
          <w:p w14:paraId="602D7637" w14:textId="77777777" w:rsidR="00082198" w:rsidRDefault="0008219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4B1D1776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6ADFF99E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En étudiant de manière critique les produits et les habitudes de consommation. </w:t>
            </w:r>
          </w:p>
          <w:p w14:paraId="2D78005C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>CM 36 En comparant et en analysant les prix de revient par rapport à la quantité et à la qualité des produits.</w:t>
            </w:r>
          </w:p>
          <w:p w14:paraId="6FB29ADE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En développant son sens de l’organisation, son autonomie et sa créativité. </w:t>
            </w:r>
          </w:p>
          <w:p w14:paraId="31EC217F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En appliquant les règles d’hygiène, de sécurité et de comportement  à l’égard des autres et de l’environnement. </w:t>
            </w:r>
          </w:p>
          <w:p w14:paraId="3619F0E5" w14:textId="321C9FB1" w:rsidR="00082198" w:rsidRDefault="00082198" w:rsidP="000D5876">
            <w:pPr>
              <w:numPr>
                <w:ilvl w:val="0"/>
                <w:numId w:val="2"/>
              </w:numPr>
              <w:jc w:val="both"/>
            </w:pPr>
            <w:r>
              <w:t>CM 37 En analysant les critères qui influencent le choix de produits et les incidences qui découlent de ces choix. (</w:t>
            </w:r>
            <w:r>
              <w:rPr>
                <w:i/>
              </w:rPr>
              <w:t>budget)</w:t>
            </w:r>
          </w:p>
        </w:tc>
      </w:tr>
      <w:tr w:rsidR="000D5876" w14:paraId="7911F26C" w14:textId="77777777" w:rsidTr="003850BD">
        <w:tc>
          <w:tcPr>
            <w:tcW w:w="1951" w:type="dxa"/>
          </w:tcPr>
          <w:p w14:paraId="40EFCA9C" w14:textId="77777777" w:rsidR="000D5876" w:rsidRDefault="000D5876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4A3C8AE7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0FA99DA8" w14:textId="77777777" w:rsidR="000D5876" w:rsidRDefault="000D5876" w:rsidP="000D5876">
            <w:pPr>
              <w:ind w:left="360"/>
              <w:jc w:val="both"/>
            </w:pPr>
          </w:p>
        </w:tc>
      </w:tr>
      <w:tr w:rsidR="00082198" w14:paraId="19943A74" w14:textId="77777777" w:rsidTr="003850BD">
        <w:tc>
          <w:tcPr>
            <w:tcW w:w="1951" w:type="dxa"/>
          </w:tcPr>
          <w:p w14:paraId="390FCB4B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t>3. Progression des apprentissages</w:t>
            </w:r>
          </w:p>
          <w:p w14:paraId="13F3F084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105EB8FE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19F48E8C" w14:textId="6EFED849" w:rsidR="00ED13DF" w:rsidRPr="00ED13DF" w:rsidRDefault="00ED13DF" w:rsidP="0008219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t xml:space="preserve">CM 35 Identification de l’importance d’une alimentation équilibrée, variée et saine, qui allie plaisir des sens et bonne santé : - détermination des facteurs qui influencent la composition des menus </w:t>
            </w:r>
            <w:r w:rsidRPr="00ED13DF">
              <w:rPr>
                <w:i/>
              </w:rPr>
              <w:t>(nombre de personnes, saison, budget, temps disponoble,…)</w:t>
            </w:r>
          </w:p>
          <w:p w14:paraId="18C16D58" w14:textId="1BD6C948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>CM</w:t>
            </w:r>
            <w:r w:rsidR="00184481">
              <w:t xml:space="preserve"> 36 Choix et utilisation adapté</w:t>
            </w:r>
            <w:r w:rsidR="00ED13DF">
              <w:t>e</w:t>
            </w:r>
            <w:r>
              <w:t xml:space="preserve"> des ustensiles et du matériel.</w:t>
            </w:r>
          </w:p>
          <w:p w14:paraId="4F8C9283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Analyse des informations figurant sur l’emballage d’un  aliment. </w:t>
            </w:r>
          </w:p>
          <w:p w14:paraId="5EDD7CFF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Mise en valeur des produits de saison, de proximité ou issus du commerce équitable. </w:t>
            </w:r>
          </w:p>
          <w:p w14:paraId="72113D37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>CM 36 Préparation et comparaison d’un mets maison et d’un mets précuisiné par rapport au prix, à la qualité, au goût et au temps de préparation. (</w:t>
            </w:r>
            <w:r w:rsidRPr="00F2085A">
              <w:rPr>
                <w:i/>
              </w:rPr>
              <w:t>Pizza …</w:t>
            </w:r>
            <w:r>
              <w:rPr>
                <w:i/>
              </w:rPr>
              <w:t>)</w:t>
            </w:r>
            <w:r w:rsidRPr="00F2085A">
              <w:rPr>
                <w:i/>
              </w:rPr>
              <w:t xml:space="preserve"> </w:t>
            </w:r>
          </w:p>
          <w:p w14:paraId="1A666D7B" w14:textId="77777777" w:rsidR="00082198" w:rsidRPr="002D6029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Présentation, réalisation créative et soignée de différents mets et préparation de la table. ( </w:t>
            </w:r>
            <w:r>
              <w:rPr>
                <w:i/>
              </w:rPr>
              <w:t>mise du couvert, décoration…)</w:t>
            </w:r>
          </w:p>
          <w:p w14:paraId="1CEBB53A" w14:textId="5AD7FC55" w:rsidR="00082198" w:rsidRPr="004555EC" w:rsidRDefault="00082198" w:rsidP="000D5876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4555EC">
              <w:t>CM 37 Observation et analyse des critères qui influencent le choix de produits</w:t>
            </w:r>
            <w:r w:rsidR="00184481">
              <w:t>.</w:t>
            </w:r>
            <w:r w:rsidRPr="004555EC">
              <w:t xml:space="preserve"> </w:t>
            </w:r>
            <w:r w:rsidRPr="004555EC">
              <w:rPr>
                <w:i/>
              </w:rPr>
              <w:t>(rapport qualité/prix, impact sur l’environnement, composition, marque du produit,…)</w:t>
            </w:r>
          </w:p>
        </w:tc>
      </w:tr>
      <w:tr w:rsidR="000D5876" w14:paraId="234DD33F" w14:textId="77777777" w:rsidTr="003850BD">
        <w:tc>
          <w:tcPr>
            <w:tcW w:w="1951" w:type="dxa"/>
          </w:tcPr>
          <w:p w14:paraId="6D5A0CE3" w14:textId="77777777" w:rsidR="000D5876" w:rsidRDefault="000D5876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32AD49E4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3CF8792F" w14:textId="77777777" w:rsidR="000D5876" w:rsidRDefault="000D5876" w:rsidP="000D5876">
            <w:pPr>
              <w:ind w:left="360"/>
              <w:jc w:val="both"/>
            </w:pPr>
          </w:p>
        </w:tc>
      </w:tr>
      <w:tr w:rsidR="00082198" w14:paraId="086FEC90" w14:textId="77777777" w:rsidTr="003850BD">
        <w:tc>
          <w:tcPr>
            <w:tcW w:w="1951" w:type="dxa"/>
          </w:tcPr>
          <w:p w14:paraId="5847459E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t>4. Attentes fondamentales</w:t>
            </w:r>
          </w:p>
          <w:p w14:paraId="2E499BCB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58EA82D3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690F7175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>CM 36 Décode l’étiquette et / ou le label d’un produit.</w:t>
            </w:r>
          </w:p>
          <w:p w14:paraId="1080812E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 xml:space="preserve">CM 36 Applique les règles d’hygiène et de sécurité en cuisine. </w:t>
            </w:r>
          </w:p>
          <w:p w14:paraId="2CE875DD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 xml:space="preserve">CM 36 Applique des gestes favorisant l’économie des ressources. </w:t>
            </w:r>
          </w:p>
          <w:p w14:paraId="6CFE62F1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 xml:space="preserve">CM 36 Réalise quelques recettes tirées du livre de cuisine en respectant les bases de préparations et les proportions. </w:t>
            </w:r>
          </w:p>
          <w:p w14:paraId="7626B893" w14:textId="77777777" w:rsidR="00082198" w:rsidRDefault="00082198" w:rsidP="00082198">
            <w:pPr>
              <w:numPr>
                <w:ilvl w:val="0"/>
                <w:numId w:val="2"/>
              </w:numPr>
            </w:pPr>
            <w:r>
              <w:t xml:space="preserve">CM 36 Présente avec soin un mets. </w:t>
            </w:r>
          </w:p>
          <w:p w14:paraId="37A9CED1" w14:textId="2AF83A19" w:rsidR="00082198" w:rsidRPr="004555EC" w:rsidRDefault="00082198" w:rsidP="00082198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4555EC">
              <w:t>CM 37 Effectue des choix de consommateur en ayant conscience de l’impact environnemental et financier</w:t>
            </w:r>
            <w:r w:rsidR="00184481">
              <w:t>.</w:t>
            </w:r>
          </w:p>
        </w:tc>
      </w:tr>
      <w:tr w:rsidR="000D5876" w14:paraId="00C84F0C" w14:textId="77777777" w:rsidTr="003850BD">
        <w:tc>
          <w:tcPr>
            <w:tcW w:w="1951" w:type="dxa"/>
          </w:tcPr>
          <w:p w14:paraId="4580D857" w14:textId="77777777" w:rsidR="000D5876" w:rsidRDefault="000D5876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7AF86ACD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41BC4C19" w14:textId="77777777" w:rsidR="000D5876" w:rsidRDefault="000D5876" w:rsidP="000D5876">
            <w:pPr>
              <w:ind w:left="360"/>
            </w:pPr>
          </w:p>
          <w:p w14:paraId="6FC0445B" w14:textId="77777777" w:rsidR="00ED13DF" w:rsidRDefault="00ED13DF" w:rsidP="000D5876">
            <w:pPr>
              <w:ind w:left="360"/>
            </w:pPr>
          </w:p>
          <w:p w14:paraId="3E0B38C4" w14:textId="77777777" w:rsidR="00ED13DF" w:rsidRDefault="00ED13DF" w:rsidP="000D5876">
            <w:pPr>
              <w:ind w:left="360"/>
            </w:pPr>
          </w:p>
          <w:p w14:paraId="27263B93" w14:textId="77777777" w:rsidR="00ED13DF" w:rsidRDefault="00ED13DF" w:rsidP="000D5876">
            <w:pPr>
              <w:ind w:left="360"/>
            </w:pPr>
          </w:p>
        </w:tc>
      </w:tr>
      <w:tr w:rsidR="00082198" w14:paraId="2134623A" w14:textId="77777777" w:rsidTr="003850BD">
        <w:tc>
          <w:tcPr>
            <w:tcW w:w="1951" w:type="dxa"/>
          </w:tcPr>
          <w:p w14:paraId="29131CAD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lastRenderedPageBreak/>
              <w:t>5. Indications pédagogiques</w:t>
            </w:r>
          </w:p>
          <w:p w14:paraId="45BA2694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1166E7AA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487BB9AE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>CM 36 Veiller à l’application des équivalences alimentaires.</w:t>
            </w:r>
          </w:p>
          <w:p w14:paraId="4D8F3275" w14:textId="77777777" w:rsidR="00082198" w:rsidRDefault="00082198" w:rsidP="00082198">
            <w:pPr>
              <w:numPr>
                <w:ilvl w:val="0"/>
                <w:numId w:val="2"/>
              </w:numPr>
              <w:jc w:val="both"/>
            </w:pPr>
            <w:r>
              <w:t xml:space="preserve">CM 36 Développer des écogestes. </w:t>
            </w:r>
          </w:p>
          <w:p w14:paraId="33D22DD0" w14:textId="4ACF6875" w:rsidR="000D5876" w:rsidRPr="004555EC" w:rsidRDefault="00184481" w:rsidP="000D5876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t xml:space="preserve">CM </w:t>
            </w:r>
            <w:r w:rsidR="00082198" w:rsidRPr="004555EC">
              <w:t>37 Se référer aux aspects écologiques, économiques et sociaux des critères</w:t>
            </w:r>
            <w:r>
              <w:t>.</w:t>
            </w:r>
            <w:r w:rsidR="00082198" w:rsidRPr="004555EC">
              <w:t xml:space="preserve"> </w:t>
            </w:r>
            <w:r w:rsidR="00082198" w:rsidRPr="004555EC">
              <w:rPr>
                <w:i/>
              </w:rPr>
              <w:t>(gestion des ressources, énergie grise, provenance, modes et influences, publicité,…)</w:t>
            </w:r>
          </w:p>
        </w:tc>
      </w:tr>
      <w:tr w:rsidR="000D5876" w14:paraId="77F12AD4" w14:textId="77777777" w:rsidTr="003850BD">
        <w:tc>
          <w:tcPr>
            <w:tcW w:w="1951" w:type="dxa"/>
          </w:tcPr>
          <w:p w14:paraId="1527422F" w14:textId="77777777" w:rsidR="000D5876" w:rsidRDefault="000D5876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1E22B9C0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353CC8D4" w14:textId="77777777" w:rsidR="000D5876" w:rsidRDefault="000D5876" w:rsidP="000D5876">
            <w:pPr>
              <w:ind w:left="360"/>
              <w:jc w:val="both"/>
            </w:pPr>
          </w:p>
        </w:tc>
      </w:tr>
      <w:tr w:rsidR="00082198" w14:paraId="61DB1190" w14:textId="77777777" w:rsidTr="003850BD">
        <w:tc>
          <w:tcPr>
            <w:tcW w:w="1951" w:type="dxa"/>
          </w:tcPr>
          <w:p w14:paraId="55F9B05C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t>6. Liens</w:t>
            </w:r>
          </w:p>
          <w:p w14:paraId="081D7B9B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6E1BA267" w14:textId="77777777" w:rsidR="00082198" w:rsidRDefault="0008219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5FBA5061" w14:textId="77777777" w:rsidR="00082198" w:rsidRPr="004555EC" w:rsidRDefault="00082198" w:rsidP="00082198">
            <w:pPr>
              <w:pStyle w:val="Paragraphedeliste"/>
              <w:numPr>
                <w:ilvl w:val="0"/>
                <w:numId w:val="2"/>
              </w:numPr>
            </w:pPr>
            <w:r w:rsidRPr="004555EC">
              <w:t>Lien intra-disciplinaire : CM 35 Sens et besoins physiologiques.</w:t>
            </w:r>
          </w:p>
          <w:p w14:paraId="09AA958C" w14:textId="77777777" w:rsidR="00082198" w:rsidRPr="004555EC" w:rsidRDefault="00082198" w:rsidP="00082198">
            <w:r w:rsidRPr="004555EC">
              <w:t xml:space="preserve">                                                   CM 36 Equilibre alimentaire.</w:t>
            </w:r>
          </w:p>
          <w:p w14:paraId="7037DC72" w14:textId="25261C68" w:rsidR="00082198" w:rsidRPr="004555EC" w:rsidRDefault="00082198" w:rsidP="00082198">
            <w:pPr>
              <w:pStyle w:val="Paragraphedeliste"/>
              <w:numPr>
                <w:ilvl w:val="0"/>
                <w:numId w:val="7"/>
              </w:numPr>
            </w:pPr>
            <w:r w:rsidRPr="004555EC">
              <w:t>Lien inter-domaine : SHS 31 Relation Homme-espace</w:t>
            </w:r>
            <w:r w:rsidR="00184481">
              <w:t>.</w:t>
            </w:r>
            <w:r w:rsidRPr="004555EC">
              <w:t xml:space="preserve"> (composante n°5 </w:t>
            </w:r>
          </w:p>
          <w:p w14:paraId="2A10F149" w14:textId="6C44C428" w:rsidR="00082198" w:rsidRPr="004555EC" w:rsidRDefault="00082198" w:rsidP="00082198">
            <w:r w:rsidRPr="004555EC">
              <w:t xml:space="preserve">                               </w:t>
            </w:r>
            <w:r w:rsidR="00184481">
              <w:t xml:space="preserve">               ou autre à voir)</w:t>
            </w:r>
          </w:p>
          <w:p w14:paraId="67053856" w14:textId="1FF426BE" w:rsidR="00082198" w:rsidRPr="004555EC" w:rsidRDefault="00082198" w:rsidP="00082198">
            <w:r>
              <w:rPr>
                <w:color w:val="FF0000"/>
              </w:rPr>
              <w:t xml:space="preserve">                                              </w:t>
            </w:r>
            <w:r w:rsidRPr="004555EC">
              <w:t>MSN 37 Corps humain</w:t>
            </w:r>
            <w:r w:rsidR="00184481">
              <w:t>. (composante n°6)</w:t>
            </w:r>
          </w:p>
          <w:p w14:paraId="4E4F2BA2" w14:textId="77777777" w:rsidR="00082198" w:rsidRPr="004555EC" w:rsidRDefault="00082198" w:rsidP="00082198">
            <w:pPr>
              <w:pStyle w:val="Paragraphedeliste"/>
              <w:numPr>
                <w:ilvl w:val="0"/>
                <w:numId w:val="7"/>
              </w:numPr>
            </w:pPr>
            <w:r w:rsidRPr="004555EC">
              <w:t>Lien avec les capacités transversales : CT Démarche réflexive.</w:t>
            </w:r>
          </w:p>
          <w:p w14:paraId="4E49D160" w14:textId="4659F24D" w:rsidR="00082198" w:rsidRPr="004555EC" w:rsidRDefault="00082198" w:rsidP="00082198">
            <w:pPr>
              <w:pStyle w:val="Paragraphedeliste"/>
              <w:numPr>
                <w:ilvl w:val="0"/>
                <w:numId w:val="7"/>
              </w:numPr>
            </w:pPr>
            <w:r w:rsidRPr="004555EC">
              <w:t>Lien avec la formation géné</w:t>
            </w:r>
            <w:r w:rsidR="00184481">
              <w:t>rale : FG 32 Santé et bien-être.</w:t>
            </w:r>
          </w:p>
          <w:p w14:paraId="00F21C75" w14:textId="77777777" w:rsidR="00082198" w:rsidRPr="004555EC" w:rsidRDefault="00082198" w:rsidP="00082198">
            <w:r w:rsidRPr="004555EC">
              <w:t xml:space="preserve">                                                                  (composante n°3)</w:t>
            </w:r>
          </w:p>
          <w:p w14:paraId="633A5A0B" w14:textId="03B15190" w:rsidR="00082198" w:rsidRPr="004555EC" w:rsidRDefault="00082198" w:rsidP="00082198">
            <w:r w:rsidRPr="004555EC">
              <w:t xml:space="preserve">                                                                  FG 34 Projets collectifs</w:t>
            </w:r>
            <w:r w:rsidR="00184481">
              <w:t>.</w:t>
            </w:r>
            <w:r w:rsidRPr="004555EC">
              <w:t xml:space="preserve"> </w:t>
            </w:r>
          </w:p>
          <w:p w14:paraId="509D31E9" w14:textId="77777777" w:rsidR="00082198" w:rsidRPr="004555EC" w:rsidRDefault="00082198" w:rsidP="00082198">
            <w:r w:rsidRPr="004555EC">
              <w:t xml:space="preserve">                                                                  (composntes n°1 – 4)</w:t>
            </w:r>
          </w:p>
          <w:p w14:paraId="39909BC0" w14:textId="4492AFC5" w:rsidR="00082198" w:rsidRPr="004555EC" w:rsidRDefault="00082198" w:rsidP="00082198">
            <w:r w:rsidRPr="004555EC">
              <w:t xml:space="preserve">                                                                  FG 36 Environnement</w:t>
            </w:r>
            <w:r w:rsidR="00184481">
              <w:t>.</w:t>
            </w:r>
          </w:p>
          <w:p w14:paraId="7BB3E1FF" w14:textId="77777777" w:rsidR="00082198" w:rsidRPr="004555EC" w:rsidRDefault="00082198" w:rsidP="00082198">
            <w:r w:rsidRPr="004555EC">
              <w:t xml:space="preserve">                                                                  (composante n°3)</w:t>
            </w:r>
          </w:p>
          <w:p w14:paraId="3EF1FE41" w14:textId="67CD95F5" w:rsidR="00082198" w:rsidRPr="004555EC" w:rsidRDefault="00082198" w:rsidP="00082198">
            <w:r w:rsidRPr="004555EC">
              <w:t xml:space="preserve">                                              </w:t>
            </w:r>
            <w:r w:rsidR="00184481">
              <w:t xml:space="preserve">                    FG 37 Comple</w:t>
            </w:r>
            <w:r w:rsidRPr="004555EC">
              <w:t>xité et interdépendance</w:t>
            </w:r>
            <w:r w:rsidR="00184481">
              <w:t>.</w:t>
            </w:r>
          </w:p>
          <w:p w14:paraId="353232FE" w14:textId="73FFC729" w:rsidR="00082198" w:rsidRPr="000D5876" w:rsidRDefault="00082198" w:rsidP="000D5876">
            <w:pPr>
              <w:rPr>
                <w:color w:val="FF0000"/>
              </w:rPr>
            </w:pPr>
            <w:r w:rsidRPr="004555EC">
              <w:t xml:space="preserve">                                                                  (composantes n° 1 – 4)</w:t>
            </w:r>
          </w:p>
        </w:tc>
      </w:tr>
      <w:tr w:rsidR="000D5876" w14:paraId="538FDD1F" w14:textId="77777777" w:rsidTr="003850BD">
        <w:tc>
          <w:tcPr>
            <w:tcW w:w="1951" w:type="dxa"/>
          </w:tcPr>
          <w:p w14:paraId="1F6B8B59" w14:textId="77777777" w:rsidR="000D5876" w:rsidRDefault="000D5876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7BCD977E" w14:textId="77777777" w:rsidR="000D5876" w:rsidRDefault="000D5876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1939A587" w14:textId="77777777" w:rsidR="000D5876" w:rsidRPr="000D5876" w:rsidRDefault="000D5876" w:rsidP="000D5876">
            <w:pPr>
              <w:ind w:left="360"/>
              <w:rPr>
                <w:color w:val="FF0000"/>
              </w:rPr>
            </w:pPr>
          </w:p>
        </w:tc>
      </w:tr>
      <w:tr w:rsidR="00082198" w14:paraId="7A0B56A1" w14:textId="77777777" w:rsidTr="003850BD">
        <w:tc>
          <w:tcPr>
            <w:tcW w:w="1951" w:type="dxa"/>
          </w:tcPr>
          <w:p w14:paraId="09E5B472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  <w:r>
              <w:t>7. Matériel</w:t>
            </w:r>
          </w:p>
          <w:p w14:paraId="4F566386" w14:textId="77777777" w:rsidR="00082198" w:rsidRDefault="00082198" w:rsidP="00082198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4034EBAA" w14:textId="77777777" w:rsidR="00082198" w:rsidRDefault="00082198" w:rsidP="00082198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5F5CE8B0" w14:textId="573BBE72" w:rsidR="00082198" w:rsidRDefault="00184481" w:rsidP="00082198">
            <w:pPr>
              <w:numPr>
                <w:ilvl w:val="0"/>
                <w:numId w:val="3"/>
              </w:numPr>
            </w:pPr>
            <w:r>
              <w:t>Séquence n°1 : images des légumes et des fruits.</w:t>
            </w:r>
          </w:p>
          <w:p w14:paraId="0A579C74" w14:textId="21D364F1" w:rsidR="00082198" w:rsidRDefault="00EE6FA1" w:rsidP="00082198">
            <w:pPr>
              <w:numPr>
                <w:ilvl w:val="0"/>
                <w:numId w:val="3"/>
              </w:numPr>
            </w:pPr>
            <w:r>
              <w:t>Séquence n°2 : marmite à vapeur et panier vapeur</w:t>
            </w:r>
            <w:bookmarkStart w:id="0" w:name="_GoBack"/>
            <w:bookmarkEnd w:id="0"/>
          </w:p>
          <w:p w14:paraId="5E19D2EC" w14:textId="4FA4D9D0" w:rsidR="00082198" w:rsidRPr="004555EC" w:rsidRDefault="00EE6FA1" w:rsidP="00082198">
            <w:pPr>
              <w:numPr>
                <w:ilvl w:val="0"/>
                <w:numId w:val="3"/>
              </w:numPr>
            </w:pPr>
            <w:r>
              <w:t>Séquence n°3 : aliments d’origine animale et végétale. (protéines)</w:t>
            </w:r>
          </w:p>
          <w:p w14:paraId="1FBD9E33" w14:textId="77777777" w:rsidR="00082198" w:rsidRDefault="00082198" w:rsidP="00082198">
            <w:pPr>
              <w:numPr>
                <w:ilvl w:val="0"/>
                <w:numId w:val="3"/>
              </w:numPr>
            </w:pPr>
            <w:r>
              <w:t>Séquence n°4 : pizza du commerce.</w:t>
            </w:r>
          </w:p>
          <w:p w14:paraId="4941BD63" w14:textId="1ACAA69B" w:rsidR="00082198" w:rsidRPr="000D5876" w:rsidRDefault="00082198" w:rsidP="00082198">
            <w:pPr>
              <w:ind w:left="360"/>
            </w:pPr>
            <w:r>
              <w:t xml:space="preserve">                                Beamer et ordinateur portable. </w:t>
            </w:r>
          </w:p>
        </w:tc>
      </w:tr>
      <w:tr w:rsidR="000D5876" w14:paraId="4A6EE16B" w14:textId="77777777" w:rsidTr="003850BD">
        <w:tc>
          <w:tcPr>
            <w:tcW w:w="1951" w:type="dxa"/>
          </w:tcPr>
          <w:p w14:paraId="4E0AC3FD" w14:textId="77777777" w:rsidR="000D5876" w:rsidRDefault="000D5876" w:rsidP="000D5876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vAlign w:val="center"/>
          </w:tcPr>
          <w:p w14:paraId="0E0D96C8" w14:textId="77777777" w:rsidR="000D5876" w:rsidRDefault="000D5876" w:rsidP="000D5876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3A5E3047" w14:textId="77777777" w:rsidR="000D5876" w:rsidRDefault="000D5876" w:rsidP="000D5876">
            <w:pPr>
              <w:ind w:left="360"/>
            </w:pPr>
          </w:p>
        </w:tc>
      </w:tr>
      <w:tr w:rsidR="00FD2F58" w14:paraId="13FA2199" w14:textId="77777777" w:rsidTr="003850BD">
        <w:tc>
          <w:tcPr>
            <w:tcW w:w="1951" w:type="dxa"/>
          </w:tcPr>
          <w:p w14:paraId="6B664EE4" w14:textId="77777777" w:rsidR="00FD2F58" w:rsidRDefault="00FD2F58" w:rsidP="00F15442">
            <w:pPr>
              <w:pStyle w:val="Tabellerechtsbndigfett"/>
              <w:spacing w:before="60" w:after="60"/>
            </w:pPr>
          </w:p>
          <w:p w14:paraId="1417CE27" w14:textId="77777777" w:rsidR="000D5876" w:rsidRDefault="000D5876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704C62B1" w14:textId="77777777" w:rsidR="00FD2F58" w:rsidRDefault="00FD2F5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3D0D5CCF" w14:textId="77777777" w:rsidR="002D6029" w:rsidRDefault="002D6029" w:rsidP="003D5730">
            <w:pPr>
              <w:ind w:left="720"/>
            </w:pPr>
          </w:p>
          <w:p w14:paraId="44AE4FE9" w14:textId="77777777" w:rsidR="002D6029" w:rsidRDefault="002D6029" w:rsidP="003D5730">
            <w:pPr>
              <w:ind w:left="720"/>
            </w:pPr>
          </w:p>
          <w:p w14:paraId="0A214430" w14:textId="77777777" w:rsidR="00FD2F58" w:rsidRDefault="00FD2F58" w:rsidP="00F15442"/>
          <w:p w14:paraId="450D79A1" w14:textId="77777777" w:rsidR="002D6029" w:rsidRDefault="002D6029" w:rsidP="00F15442"/>
          <w:p w14:paraId="30FFFE04" w14:textId="77777777" w:rsidR="002D6029" w:rsidRDefault="002D6029" w:rsidP="00F15442"/>
          <w:p w14:paraId="67C0A1D6" w14:textId="77777777" w:rsidR="002D6029" w:rsidRDefault="002D6029" w:rsidP="00F15442"/>
          <w:p w14:paraId="640D8C65" w14:textId="77777777" w:rsidR="002D6029" w:rsidRDefault="002D6029" w:rsidP="00F15442"/>
          <w:p w14:paraId="3941A74D" w14:textId="77777777" w:rsidR="00FD2F58" w:rsidRDefault="00FD2F58" w:rsidP="00F15442"/>
          <w:p w14:paraId="31208BAD" w14:textId="3F734CEB" w:rsidR="00FD2F58" w:rsidRPr="002D6029" w:rsidRDefault="00FD2F58" w:rsidP="00FA2995"/>
          <w:p w14:paraId="489B34C1" w14:textId="77777777" w:rsidR="00FD2F58" w:rsidRDefault="00FD2F58" w:rsidP="00F15442"/>
          <w:p w14:paraId="38D07CCF" w14:textId="469A4B52" w:rsidR="002D6029" w:rsidRDefault="002D6029" w:rsidP="00453C36"/>
          <w:p w14:paraId="6B13954F" w14:textId="77777777" w:rsidR="007F21C7" w:rsidRDefault="007F21C7" w:rsidP="00F15442">
            <w:pPr>
              <w:rPr>
                <w:color w:val="FF0000"/>
              </w:rPr>
            </w:pPr>
          </w:p>
          <w:p w14:paraId="6953EB76" w14:textId="77777777" w:rsidR="007F21C7" w:rsidRDefault="007F21C7" w:rsidP="00F15442">
            <w:pPr>
              <w:rPr>
                <w:color w:val="FF0000"/>
              </w:rPr>
            </w:pPr>
          </w:p>
          <w:p w14:paraId="537D0022" w14:textId="77777777" w:rsidR="007F21C7" w:rsidRPr="007F21C7" w:rsidRDefault="007F21C7" w:rsidP="00F15442">
            <w:pPr>
              <w:rPr>
                <w:color w:val="FF0000"/>
              </w:rPr>
            </w:pPr>
          </w:p>
          <w:p w14:paraId="478DC97B" w14:textId="77777777" w:rsidR="00FD2F58" w:rsidRDefault="00FD2F58" w:rsidP="00F15442"/>
          <w:p w14:paraId="25774C40" w14:textId="77777777" w:rsidR="00FD2F58" w:rsidRDefault="00FD2F58" w:rsidP="00F15442"/>
          <w:p w14:paraId="6CB5018C" w14:textId="77777777" w:rsidR="00FD2F58" w:rsidRDefault="00FD2F58" w:rsidP="00F15442"/>
          <w:p w14:paraId="770950F1" w14:textId="77777777" w:rsidR="00FD2F58" w:rsidRDefault="00FD2F58" w:rsidP="00F15442"/>
          <w:p w14:paraId="3B731BC5" w14:textId="77777777" w:rsidR="00FD2F58" w:rsidRDefault="00FD2F58" w:rsidP="00F15442"/>
          <w:p w14:paraId="49FD35E6" w14:textId="77777777" w:rsidR="00FD2F58" w:rsidRDefault="00FD2F58" w:rsidP="00F15442"/>
          <w:p w14:paraId="215CD17F" w14:textId="77777777" w:rsidR="00FD2F58" w:rsidRDefault="00FD2F58" w:rsidP="00F15442"/>
          <w:p w14:paraId="00DDBFFF" w14:textId="77777777" w:rsidR="007F21C7" w:rsidRDefault="007F21C7" w:rsidP="00F15442"/>
          <w:p w14:paraId="561B385B" w14:textId="77777777" w:rsidR="007F21C7" w:rsidRDefault="007F21C7" w:rsidP="00F15442"/>
          <w:p w14:paraId="6D4DE707" w14:textId="77777777" w:rsidR="007F21C7" w:rsidRDefault="007F21C7" w:rsidP="00F15442"/>
          <w:p w14:paraId="60A4F964" w14:textId="77777777" w:rsidR="007F21C7" w:rsidRDefault="007F21C7" w:rsidP="00F15442"/>
          <w:p w14:paraId="3400694A" w14:textId="77777777" w:rsidR="007F21C7" w:rsidRDefault="007F21C7" w:rsidP="00F15442"/>
          <w:p w14:paraId="0ED40E4F" w14:textId="77777777" w:rsidR="007F21C7" w:rsidRDefault="007F21C7" w:rsidP="00F15442"/>
          <w:p w14:paraId="26B2976C" w14:textId="77777777" w:rsidR="007F21C7" w:rsidRDefault="007F21C7" w:rsidP="00F15442"/>
          <w:p w14:paraId="12099086" w14:textId="77777777" w:rsidR="00B83711" w:rsidRPr="006744AC" w:rsidRDefault="00B83711" w:rsidP="00F15442"/>
        </w:tc>
      </w:tr>
      <w:tr w:rsidR="00FD2F58" w14:paraId="2B66FFB8" w14:textId="77777777" w:rsidTr="003850BD">
        <w:tc>
          <w:tcPr>
            <w:tcW w:w="1951" w:type="dxa"/>
          </w:tcPr>
          <w:p w14:paraId="7DE7B7E8" w14:textId="72B7B2A8" w:rsidR="00FD2F58" w:rsidRPr="00504A32" w:rsidRDefault="00FD2F58" w:rsidP="00F15442">
            <w:pPr>
              <w:pStyle w:val="Tabellerechtsbndigfett"/>
              <w:spacing w:before="60" w:after="60"/>
              <w:rPr>
                <w:lang w:bidi="x-none"/>
              </w:rPr>
            </w:pPr>
          </w:p>
        </w:tc>
        <w:tc>
          <w:tcPr>
            <w:tcW w:w="284" w:type="dxa"/>
            <w:vAlign w:val="center"/>
          </w:tcPr>
          <w:p w14:paraId="3D872A81" w14:textId="77777777" w:rsidR="00FD2F58" w:rsidRPr="00504A32" w:rsidRDefault="00FD2F58" w:rsidP="00F15442">
            <w:pPr>
              <w:spacing w:before="60" w:after="60"/>
              <w:rPr>
                <w:lang w:bidi="x-none"/>
              </w:rPr>
            </w:pPr>
          </w:p>
        </w:tc>
        <w:tc>
          <w:tcPr>
            <w:tcW w:w="7347" w:type="dxa"/>
            <w:vAlign w:val="center"/>
          </w:tcPr>
          <w:p w14:paraId="05766E02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/>
            </w:pPr>
          </w:p>
        </w:tc>
      </w:tr>
      <w:tr w:rsidR="00FD2F58" w14:paraId="15998844" w14:textId="77777777" w:rsidTr="003850BD">
        <w:tc>
          <w:tcPr>
            <w:tcW w:w="1951" w:type="dxa"/>
          </w:tcPr>
          <w:p w14:paraId="296D0A24" w14:textId="77777777" w:rsidR="00FD2F58" w:rsidRDefault="00FD2F58" w:rsidP="00F15442">
            <w:pPr>
              <w:pStyle w:val="Tabellerechtsbndigfett"/>
            </w:pPr>
            <w:r>
              <w:t>Sources et auteurs</w:t>
            </w:r>
          </w:p>
        </w:tc>
        <w:tc>
          <w:tcPr>
            <w:tcW w:w="284" w:type="dxa"/>
            <w:vAlign w:val="center"/>
          </w:tcPr>
          <w:p w14:paraId="572AC7D1" w14:textId="77777777" w:rsidR="00FD2F58" w:rsidRDefault="00FD2F5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1F40745F" w14:textId="77777777" w:rsidR="00FD2F58" w:rsidRPr="00F319AC" w:rsidRDefault="00FD2F58" w:rsidP="00F15442">
            <w:pPr>
              <w:spacing w:before="60" w:after="60"/>
              <w:rPr>
                <w:b/>
              </w:rPr>
            </w:pPr>
            <w:r w:rsidRPr="00F319AC">
              <w:rPr>
                <w:b/>
              </w:rPr>
              <w:t>Sources :</w:t>
            </w:r>
          </w:p>
          <w:p w14:paraId="06BD1304" w14:textId="77777777" w:rsidR="00FD2F58" w:rsidRDefault="00FD2F58" w:rsidP="00F15442">
            <w:pPr>
              <w:spacing w:before="60" w:after="60"/>
            </w:pPr>
          </w:p>
          <w:p w14:paraId="1E8F4444" w14:textId="1DCAB266" w:rsidR="00FD2F58" w:rsidRPr="00F319AC" w:rsidRDefault="00FD2F58" w:rsidP="00A36007">
            <w:pPr>
              <w:numPr>
                <w:ilvl w:val="0"/>
                <w:numId w:val="4"/>
              </w:numPr>
              <w:spacing w:before="60" w:after="60"/>
              <w:jc w:val="both"/>
              <w:rPr>
                <w:b/>
              </w:rPr>
            </w:pPr>
            <w:r w:rsidRPr="00F319AC">
              <w:rPr>
                <w:b/>
              </w:rPr>
              <w:t>Images :</w:t>
            </w:r>
            <w:r w:rsidR="009E2141">
              <w:rPr>
                <w:b/>
              </w:rPr>
              <w:t xml:space="preserve"> </w:t>
            </w:r>
            <w:r w:rsidR="00A36007">
              <w:t xml:space="preserve">Croqu’menus, édition Schulervag 2009 </w:t>
            </w:r>
          </w:p>
          <w:p w14:paraId="793AA6F0" w14:textId="77777777" w:rsidR="00FD2F58" w:rsidRDefault="00FD2F58" w:rsidP="00F15442">
            <w:pPr>
              <w:spacing w:before="60" w:after="60"/>
            </w:pPr>
          </w:p>
          <w:p w14:paraId="5A2334E8" w14:textId="77777777" w:rsidR="00FD2F58" w:rsidRDefault="00FD2F58" w:rsidP="00FD2F58">
            <w:pPr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F319AC">
              <w:rPr>
                <w:b/>
              </w:rPr>
              <w:t>Textes :</w:t>
            </w:r>
          </w:p>
          <w:p w14:paraId="13B17B88" w14:textId="77777777" w:rsidR="00FD2F58" w:rsidRPr="006929C5" w:rsidRDefault="00FD2F58" w:rsidP="00FD2F58">
            <w:pPr>
              <w:numPr>
                <w:ilvl w:val="0"/>
                <w:numId w:val="5"/>
              </w:numPr>
              <w:spacing w:before="60" w:after="60"/>
            </w:pPr>
            <w:r>
              <w:t>PER</w:t>
            </w:r>
          </w:p>
          <w:p w14:paraId="213133D6" w14:textId="4E53F736" w:rsidR="00FD2F58" w:rsidRDefault="00FD2F58" w:rsidP="00FD2F58">
            <w:pPr>
              <w:numPr>
                <w:ilvl w:val="0"/>
                <w:numId w:val="5"/>
              </w:numPr>
              <w:spacing w:before="60" w:after="60"/>
            </w:pPr>
            <w:r>
              <w:t>Croqu</w:t>
            </w:r>
            <w:r w:rsidR="00184481">
              <w:t>’menus, édition Schulverlag 2010</w:t>
            </w:r>
          </w:p>
          <w:p w14:paraId="1C39A23F" w14:textId="77777777" w:rsidR="00C20665" w:rsidRDefault="00C20665" w:rsidP="00C20665">
            <w:pPr>
              <w:spacing w:before="60" w:after="60"/>
              <w:ind w:left="720"/>
            </w:pPr>
          </w:p>
          <w:p w14:paraId="50DDBF8D" w14:textId="77777777" w:rsidR="00FD2F58" w:rsidRPr="00F319AC" w:rsidRDefault="00FD2F58" w:rsidP="00FD2F58">
            <w:pPr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F319AC">
              <w:rPr>
                <w:b/>
              </w:rPr>
              <w:t>Bibliographie :</w:t>
            </w:r>
          </w:p>
          <w:p w14:paraId="660A639B" w14:textId="2F61E886" w:rsidR="00FD2F58" w:rsidRDefault="00C20665" w:rsidP="00FD2F58">
            <w:pPr>
              <w:numPr>
                <w:ilvl w:val="0"/>
                <w:numId w:val="6"/>
              </w:numPr>
              <w:spacing w:before="60" w:after="60"/>
            </w:pPr>
            <w:r>
              <w:t>Emballage pizza du commerce différentes provenances</w:t>
            </w:r>
          </w:p>
          <w:p w14:paraId="1E1F9706" w14:textId="77777777" w:rsidR="00FD2F58" w:rsidRDefault="00FD2F58" w:rsidP="00F15442">
            <w:pPr>
              <w:spacing w:before="60" w:after="60"/>
            </w:pPr>
          </w:p>
          <w:p w14:paraId="3CF1716F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/>
            </w:pPr>
          </w:p>
        </w:tc>
      </w:tr>
      <w:tr w:rsidR="00FD2F58" w14:paraId="6393178F" w14:textId="77777777" w:rsidTr="003850BD">
        <w:tc>
          <w:tcPr>
            <w:tcW w:w="1951" w:type="dxa"/>
          </w:tcPr>
          <w:p w14:paraId="3E0D637B" w14:textId="77777777" w:rsidR="00FD2F58" w:rsidRDefault="00FD2F5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  <w:vAlign w:val="center"/>
          </w:tcPr>
          <w:p w14:paraId="22AE4A2A" w14:textId="77777777" w:rsidR="00FD2F58" w:rsidRDefault="00FD2F58" w:rsidP="00F15442">
            <w:pPr>
              <w:spacing w:before="60" w:after="60"/>
            </w:pPr>
          </w:p>
        </w:tc>
        <w:tc>
          <w:tcPr>
            <w:tcW w:w="7347" w:type="dxa"/>
            <w:vAlign w:val="center"/>
          </w:tcPr>
          <w:p w14:paraId="6E5E74CE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/>
            </w:pPr>
          </w:p>
          <w:p w14:paraId="135FF6FE" w14:textId="77777777" w:rsidR="00C20665" w:rsidRDefault="00C20665" w:rsidP="00F15442">
            <w:pPr>
              <w:pStyle w:val="Einzug"/>
              <w:numPr>
                <w:ilvl w:val="0"/>
                <w:numId w:val="0"/>
              </w:numPr>
              <w:spacing w:before="60" w:after="60"/>
            </w:pPr>
          </w:p>
        </w:tc>
      </w:tr>
      <w:tr w:rsidR="00FD2F58" w14:paraId="551AF890" w14:textId="77777777" w:rsidTr="003850BD">
        <w:tc>
          <w:tcPr>
            <w:tcW w:w="1951" w:type="dxa"/>
          </w:tcPr>
          <w:p w14:paraId="1CFBA603" w14:textId="77777777" w:rsidR="00FD2F58" w:rsidRDefault="00FD2F58" w:rsidP="00F15442">
            <w:pPr>
              <w:pStyle w:val="Tabellerechtsbndigfett"/>
              <w:spacing w:before="60" w:after="60"/>
            </w:pPr>
          </w:p>
        </w:tc>
        <w:tc>
          <w:tcPr>
            <w:tcW w:w="284" w:type="dxa"/>
          </w:tcPr>
          <w:p w14:paraId="7D1C8B7E" w14:textId="77777777" w:rsidR="00FD2F58" w:rsidRDefault="00FD2F58" w:rsidP="00F15442">
            <w:pPr>
              <w:spacing w:before="60" w:after="60"/>
            </w:pPr>
          </w:p>
        </w:tc>
        <w:tc>
          <w:tcPr>
            <w:tcW w:w="7347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625"/>
              <w:gridCol w:w="4633"/>
            </w:tblGrid>
            <w:tr w:rsidR="00FD2F58" w:rsidRPr="00A64AC5" w14:paraId="3C72E9AC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4B2048C6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 w:rsidRPr="00A64AC5">
                    <w:rPr>
                      <w:lang w:bidi="x-none"/>
                    </w:rPr>
                    <w:t>Auteur-s (nom, prénom, courriel fr.educanet2.ch)</w:t>
                  </w: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3094B244" w14:textId="19032DE9" w:rsidR="00FD2F58" w:rsidRDefault="00C20665" w:rsidP="00F15442">
                  <w:pPr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 xml:space="preserve">A-M Kolly, </w:t>
                  </w:r>
                  <w:hyperlink r:id="rId8" w:history="1">
                    <w:r w:rsidRPr="005479E0">
                      <w:rPr>
                        <w:rStyle w:val="Lienhypertexte"/>
                        <w:lang w:bidi="x-none"/>
                      </w:rPr>
                      <w:t>anne-marie.kolly@fr.educanet2.ch</w:t>
                    </w:r>
                  </w:hyperlink>
                </w:p>
                <w:p w14:paraId="5387A87A" w14:textId="37E21C17" w:rsidR="00FD2F58" w:rsidRDefault="00C20665" w:rsidP="00F15442">
                  <w:pPr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M. Bovigny</w:t>
                  </w:r>
                  <w:r w:rsidR="00FD2F58">
                    <w:rPr>
                      <w:lang w:bidi="x-none"/>
                    </w:rPr>
                    <w:t xml:space="preserve">, </w:t>
                  </w:r>
                  <w:r>
                    <w:rPr>
                      <w:lang w:bidi="x-none"/>
                    </w:rPr>
                    <w:t>marlene.bovigny</w:t>
                  </w:r>
                  <w:hyperlink r:id="rId9" w:history="1">
                    <w:r w:rsidR="00FD2F58" w:rsidRPr="00796E43">
                      <w:rPr>
                        <w:rStyle w:val="Lienhypertexte"/>
                        <w:lang w:bidi="x-none"/>
                      </w:rPr>
                      <w:t>@fr.educanet2.ch</w:t>
                    </w:r>
                  </w:hyperlink>
                </w:p>
                <w:p w14:paraId="16573EFE" w14:textId="644FA521" w:rsidR="00FD2F58" w:rsidRDefault="00FD2F58" w:rsidP="00F15442">
                  <w:pPr>
                    <w:rPr>
                      <w:lang w:bidi="x-none"/>
                    </w:rPr>
                  </w:pPr>
                </w:p>
                <w:p w14:paraId="2C18549E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</w:p>
              </w:tc>
            </w:tr>
            <w:tr w:rsidR="00FD2F58" w:rsidRPr="00A64AC5" w14:paraId="3EEEC0F4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1F7B2EC6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53BE19C0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DICS</w:t>
                  </w:r>
                </w:p>
              </w:tc>
            </w:tr>
            <w:tr w:rsidR="00FD2F58" w:rsidRPr="00A64AC5" w14:paraId="1A916C02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686D2130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 w:rsidRPr="00A64AC5">
                    <w:rPr>
                      <w:lang w:bidi="x-none"/>
                    </w:rPr>
                    <w:t xml:space="preserve">Expertise scientifique : </w:t>
                  </w: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3D9F1264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</w:p>
              </w:tc>
            </w:tr>
            <w:tr w:rsidR="00FD2F58" w:rsidRPr="00A64AC5" w14:paraId="3EB0347A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57E94EDC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 w:rsidRPr="00A64AC5">
                    <w:rPr>
                      <w:lang w:bidi="x-none"/>
                    </w:rPr>
                    <w:t xml:space="preserve">Expertise pédagogique : </w:t>
                  </w: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2C83285D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</w:p>
              </w:tc>
            </w:tr>
            <w:tr w:rsidR="00FD2F58" w:rsidRPr="00A64AC5" w14:paraId="134DF4DA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08DA0B1C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 w:rsidRPr="00A64AC5">
                    <w:rPr>
                      <w:lang w:bidi="x-none"/>
                    </w:rPr>
                    <w:t>Date de la dernière modification :</w:t>
                  </w: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2FE8DC08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</w:p>
              </w:tc>
            </w:tr>
            <w:tr w:rsidR="00FD2F58" w:rsidRPr="00A64AC5" w14:paraId="5B43EAC4" w14:textId="77777777" w:rsidTr="00F15442">
              <w:tc>
                <w:tcPr>
                  <w:tcW w:w="2625" w:type="dxa"/>
                  <w:shd w:val="clear" w:color="auto" w:fill="auto"/>
                  <w:vAlign w:val="center"/>
                </w:tcPr>
                <w:p w14:paraId="30B70FC9" w14:textId="77777777" w:rsidR="00FD2F58" w:rsidRPr="00A64AC5" w:rsidRDefault="00FD2F58" w:rsidP="00F15442">
                  <w:pPr>
                    <w:rPr>
                      <w:lang w:bidi="x-none"/>
                    </w:rPr>
                  </w:pPr>
                  <w:r w:rsidRPr="00A64AC5">
                    <w:rPr>
                      <w:lang w:bidi="x-none"/>
                    </w:rPr>
                    <w:t xml:space="preserve">Copyright: </w:t>
                  </w:r>
                </w:p>
              </w:tc>
              <w:tc>
                <w:tcPr>
                  <w:tcW w:w="4633" w:type="dxa"/>
                  <w:shd w:val="clear" w:color="auto" w:fill="auto"/>
                  <w:vAlign w:val="center"/>
                </w:tcPr>
                <w:p w14:paraId="79E55B85" w14:textId="77777777" w:rsidR="00FD2F58" w:rsidRPr="00080F89" w:rsidRDefault="00FD2F58" w:rsidP="00F15442">
                  <w:pPr>
                    <w:jc w:val="both"/>
                    <w:rPr>
                      <w:lang w:bidi="x-none"/>
                    </w:rPr>
                  </w:pPr>
                  <w:r w:rsidRPr="00080F89">
                    <w:rPr>
                      <w:lang w:bidi="x-none"/>
                    </w:rPr>
                    <w:t>Cette ressource est publiée sous licence Creative Commons -  utilisation sans modification autorisée sous conditions.</w:t>
                  </w:r>
                </w:p>
                <w:p w14:paraId="6EF504C9" w14:textId="77777777" w:rsidR="00FD2F58" w:rsidRPr="00080F89" w:rsidRDefault="00FD2F58" w:rsidP="00F15442">
                  <w:pPr>
                    <w:jc w:val="both"/>
                    <w:rPr>
                      <w:lang w:bidi="x-none"/>
                    </w:rPr>
                  </w:pPr>
                  <w:r w:rsidRPr="00080F89">
                    <w:rPr>
                      <w:lang w:bidi="x-none"/>
                    </w:rPr>
                    <w:t>Pour plus d’informations sur ces conditions,</w:t>
                  </w:r>
                  <w:r>
                    <w:rPr>
                      <w:lang w:bidi="x-none"/>
                    </w:rPr>
                    <w:t xml:space="preserve"> </w:t>
                  </w:r>
                  <w:r w:rsidRPr="00080F89">
                    <w:rPr>
                      <w:lang w:bidi="x-none"/>
                    </w:rPr>
                    <w:t>consultez la page suivante :</w:t>
                  </w:r>
                </w:p>
                <w:p w14:paraId="48C57C72" w14:textId="77777777" w:rsidR="00FD2F58" w:rsidRPr="00A64AC5" w:rsidRDefault="00EE6FA1" w:rsidP="00F15442">
                  <w:pPr>
                    <w:jc w:val="both"/>
                    <w:rPr>
                      <w:lang w:bidi="x-none"/>
                    </w:rPr>
                  </w:pPr>
                  <w:hyperlink r:id="rId10" w:history="1">
                    <w:r w:rsidR="00FD2F58" w:rsidRPr="00080F89">
                      <w:rPr>
                        <w:rStyle w:val="Lienhypertexte"/>
                        <w:lang w:bidi="x-none"/>
                      </w:rPr>
                      <w:t>http://www.friportail.ch/page/creative-commons-nc-sa</w:t>
                    </w:r>
                  </w:hyperlink>
                </w:p>
              </w:tc>
            </w:tr>
          </w:tbl>
          <w:p w14:paraId="57925ABC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24AFCFF7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07C9FF44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6B528095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571BCCC3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608B3FC3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  <w:p w14:paraId="5919FD65" w14:textId="77777777" w:rsidR="00FD2F58" w:rsidRDefault="00FD2F58" w:rsidP="00F15442">
            <w:pPr>
              <w:pStyle w:val="Einzug"/>
              <w:numPr>
                <w:ilvl w:val="0"/>
                <w:numId w:val="0"/>
              </w:numPr>
              <w:spacing w:before="60" w:after="60" w:line="360" w:lineRule="auto"/>
            </w:pPr>
          </w:p>
        </w:tc>
      </w:tr>
    </w:tbl>
    <w:p w14:paraId="47C3AFC1" w14:textId="77777777" w:rsidR="00D32411" w:rsidRDefault="00D32411"/>
    <w:sectPr w:rsidR="00D32411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418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DB35A" w14:textId="77777777" w:rsidR="00453C36" w:rsidRDefault="00453C36">
      <w:r>
        <w:separator/>
      </w:r>
    </w:p>
  </w:endnote>
  <w:endnote w:type="continuationSeparator" w:id="0">
    <w:p w14:paraId="2A1A5CFE" w14:textId="77777777" w:rsidR="00453C36" w:rsidRDefault="0045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EF3F4" w14:textId="77777777" w:rsidR="00453C36" w:rsidRDefault="00453C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31B621" w14:textId="77777777" w:rsidR="00453C36" w:rsidRDefault="00453C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3750"/>
      <w:gridCol w:w="2552"/>
    </w:tblGrid>
    <w:tr w:rsidR="00453C36" w14:paraId="03CED6D6" w14:textId="77777777">
      <w:tc>
        <w:tcPr>
          <w:tcW w:w="3162" w:type="dxa"/>
          <w:vAlign w:val="center"/>
        </w:tcPr>
        <w:p w14:paraId="2EB35AAC" w14:textId="77777777" w:rsidR="00453C36" w:rsidRDefault="00EE6FA1">
          <w:pPr>
            <w:pStyle w:val="Pieddepage"/>
            <w:ind w:right="360"/>
            <w:rPr>
              <w:sz w:val="18"/>
            </w:rPr>
          </w:pPr>
          <w:r>
            <w:rPr>
              <w:sz w:val="18"/>
            </w:rPr>
            <w:pict w14:anchorId="43F465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pt;height:35pt">
                <v:imagedata r:id="rId1" o:title="logo"/>
              </v:shape>
            </w:pict>
          </w:r>
        </w:p>
      </w:tc>
      <w:tc>
        <w:tcPr>
          <w:tcW w:w="3750" w:type="dxa"/>
          <w:vAlign w:val="center"/>
        </w:tcPr>
        <w:p w14:paraId="31AA3793" w14:textId="0C9DABA2" w:rsidR="00453C36" w:rsidRDefault="00D760A8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>Menus libres</w:t>
          </w:r>
          <w:r w:rsidR="00453C36">
            <w:rPr>
              <w:sz w:val="18"/>
            </w:rPr>
            <w:t xml:space="preserve"> | CM | 3</w:t>
          </w:r>
          <w:r w:rsidR="00453C36">
            <w:rPr>
              <w:sz w:val="18"/>
              <w:vertAlign w:val="superscript"/>
            </w:rPr>
            <w:t>e</w:t>
          </w:r>
        </w:p>
      </w:tc>
      <w:tc>
        <w:tcPr>
          <w:tcW w:w="2552" w:type="dxa"/>
          <w:vAlign w:val="center"/>
        </w:tcPr>
        <w:p w14:paraId="660034B2" w14:textId="77777777" w:rsidR="00453C36" w:rsidRDefault="00D760A8">
          <w:pPr>
            <w:pStyle w:val="Pieddepage"/>
            <w:rPr>
              <w:sz w:val="18"/>
            </w:rPr>
          </w:pPr>
          <w:r>
            <w:rPr>
              <w:sz w:val="18"/>
            </w:rPr>
            <w:t>M. Bovigny, A-M. Kolly</w:t>
          </w:r>
        </w:p>
        <w:p w14:paraId="5611CC13" w14:textId="30F289D3" w:rsidR="004555EC" w:rsidRDefault="004555EC">
          <w:pPr>
            <w:pStyle w:val="Pieddepage"/>
            <w:rPr>
              <w:sz w:val="18"/>
            </w:rPr>
          </w:pPr>
          <w:r>
            <w:rPr>
              <w:sz w:val="18"/>
            </w:rPr>
            <w:t>Avril 2013</w:t>
          </w:r>
        </w:p>
      </w:tc>
    </w:tr>
  </w:tbl>
  <w:p w14:paraId="311492BB" w14:textId="77777777" w:rsidR="00453C36" w:rsidRDefault="00453C3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8B65D" w14:textId="77777777" w:rsidR="00453C36" w:rsidRDefault="00453C36">
      <w:r>
        <w:separator/>
      </w:r>
    </w:p>
  </w:footnote>
  <w:footnote w:type="continuationSeparator" w:id="0">
    <w:p w14:paraId="5255F62F" w14:textId="77777777" w:rsidR="00453C36" w:rsidRDefault="00453C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A5714" w14:textId="77777777" w:rsidR="00453C36" w:rsidRDefault="00453C3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0E2B7D8D" w14:textId="77777777" w:rsidR="00453C36" w:rsidRDefault="00453C36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7C34B" w14:textId="77777777" w:rsidR="00453C36" w:rsidRDefault="00453C36">
    <w:pPr>
      <w:pStyle w:val="En-tte"/>
      <w:framePr w:wrap="around" w:vAnchor="text" w:hAnchor="margin" w:xAlign="right" w:y="1"/>
      <w:rPr>
        <w:rStyle w:val="Numrodepage"/>
        <w:sz w:val="18"/>
      </w:rPr>
    </w:pP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PAGE  </w:instrText>
    </w:r>
    <w:r>
      <w:rPr>
        <w:rStyle w:val="Numrodepage"/>
        <w:sz w:val="18"/>
      </w:rPr>
      <w:fldChar w:fldCharType="separate"/>
    </w:r>
    <w:r w:rsidR="00EE6FA1">
      <w:rPr>
        <w:rStyle w:val="Numrodepage"/>
        <w:sz w:val="18"/>
      </w:rPr>
      <w:t>1</w:t>
    </w:r>
    <w:r>
      <w:rPr>
        <w:rStyle w:val="Numrodepage"/>
        <w:sz w:val="18"/>
      </w:rPr>
      <w:fldChar w:fldCharType="end"/>
    </w:r>
  </w:p>
  <w:p w14:paraId="258C11AE" w14:textId="77777777" w:rsidR="00453C36" w:rsidRDefault="00453C3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85183"/>
    <w:multiLevelType w:val="hybridMultilevel"/>
    <w:tmpl w:val="CC905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3B71"/>
    <w:multiLevelType w:val="hybridMultilevel"/>
    <w:tmpl w:val="35BCEEAC"/>
    <w:lvl w:ilvl="0" w:tplc="5A141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E6889"/>
    <w:multiLevelType w:val="hybridMultilevel"/>
    <w:tmpl w:val="22F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15C0D"/>
    <w:multiLevelType w:val="hybridMultilevel"/>
    <w:tmpl w:val="238E5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C6858"/>
    <w:multiLevelType w:val="hybridMultilevel"/>
    <w:tmpl w:val="7E5E6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572BF"/>
    <w:multiLevelType w:val="hybridMultilevel"/>
    <w:tmpl w:val="B0787CD2"/>
    <w:lvl w:ilvl="0" w:tplc="5A141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58"/>
    <w:rsid w:val="00082198"/>
    <w:rsid w:val="000D5876"/>
    <w:rsid w:val="00184481"/>
    <w:rsid w:val="001A3B6D"/>
    <w:rsid w:val="001E07EE"/>
    <w:rsid w:val="00266B2F"/>
    <w:rsid w:val="002D6029"/>
    <w:rsid w:val="00371608"/>
    <w:rsid w:val="003850BD"/>
    <w:rsid w:val="003D5730"/>
    <w:rsid w:val="00453C36"/>
    <w:rsid w:val="004555EC"/>
    <w:rsid w:val="007F21C7"/>
    <w:rsid w:val="009E2141"/>
    <w:rsid w:val="00A36007"/>
    <w:rsid w:val="00B00F38"/>
    <w:rsid w:val="00B83711"/>
    <w:rsid w:val="00BC462F"/>
    <w:rsid w:val="00C20665"/>
    <w:rsid w:val="00D32411"/>
    <w:rsid w:val="00D760A8"/>
    <w:rsid w:val="00EA442F"/>
    <w:rsid w:val="00ED13DF"/>
    <w:rsid w:val="00EE6FA1"/>
    <w:rsid w:val="00EF2475"/>
    <w:rsid w:val="00F15442"/>
    <w:rsid w:val="00F2085A"/>
    <w:rsid w:val="00F22F41"/>
    <w:rsid w:val="00FA2995"/>
    <w:rsid w:val="00FA733E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6A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58"/>
    <w:rPr>
      <w:rFonts w:ascii="Arial" w:eastAsia="Times" w:hAnsi="Arial" w:cs="Times New Roman"/>
      <w:noProof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FD2F58"/>
  </w:style>
  <w:style w:type="paragraph" w:styleId="En-tte">
    <w:name w:val="header"/>
    <w:basedOn w:val="Normal"/>
    <w:link w:val="En-tteCar"/>
    <w:rsid w:val="00FD2F5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character" w:customStyle="1" w:styleId="En-tteCar">
    <w:name w:val="En-tête Car"/>
    <w:basedOn w:val="Policepardfaut"/>
    <w:link w:val="En-tte"/>
    <w:rsid w:val="00FD2F58"/>
    <w:rPr>
      <w:rFonts w:ascii="Arial" w:eastAsia="Times" w:hAnsi="Arial" w:cs="Times New Roman"/>
      <w:noProof/>
      <w:color w:val="404040"/>
      <w:sz w:val="22"/>
      <w:szCs w:val="20"/>
      <w:lang w:val="de-DE"/>
    </w:rPr>
  </w:style>
  <w:style w:type="paragraph" w:styleId="Pieddepage">
    <w:name w:val="footer"/>
    <w:basedOn w:val="Normal"/>
    <w:link w:val="PieddepageCar"/>
    <w:semiHidden/>
    <w:rsid w:val="00FD2F58"/>
    <w:pPr>
      <w:tabs>
        <w:tab w:val="center" w:pos="4703"/>
        <w:tab w:val="right" w:pos="9406"/>
      </w:tabs>
    </w:pPr>
    <w:rPr>
      <w:color w:val="404040"/>
    </w:rPr>
  </w:style>
  <w:style w:type="character" w:customStyle="1" w:styleId="PieddepageCar">
    <w:name w:val="Pied de page Car"/>
    <w:basedOn w:val="Policepardfaut"/>
    <w:link w:val="Pieddepage"/>
    <w:semiHidden/>
    <w:rsid w:val="00FD2F58"/>
    <w:rPr>
      <w:rFonts w:ascii="Arial" w:eastAsia="Times" w:hAnsi="Arial" w:cs="Times New Roman"/>
      <w:noProof/>
      <w:color w:val="404040"/>
      <w:sz w:val="20"/>
      <w:szCs w:val="20"/>
      <w:lang w:val="fr-FR"/>
    </w:rPr>
  </w:style>
  <w:style w:type="paragraph" w:customStyle="1" w:styleId="Tabellerechtsbndigfett">
    <w:name w:val="Tabelle rechtsbündig fett"/>
    <w:basedOn w:val="Normal"/>
    <w:rsid w:val="00FD2F58"/>
    <w:pPr>
      <w:jc w:val="right"/>
    </w:pPr>
    <w:rPr>
      <w:b/>
    </w:rPr>
  </w:style>
  <w:style w:type="paragraph" w:customStyle="1" w:styleId="Einzug">
    <w:name w:val="Einzug"/>
    <w:basedOn w:val="Normal"/>
    <w:rsid w:val="00FD2F58"/>
    <w:pPr>
      <w:numPr>
        <w:numId w:val="1"/>
      </w:numPr>
    </w:pPr>
    <w:rPr>
      <w:rFonts w:eastAsia="Times New Roman"/>
      <w:szCs w:val="24"/>
      <w:lang w:val="de-CH" w:eastAsia="de-DE"/>
    </w:rPr>
  </w:style>
  <w:style w:type="character" w:styleId="Lienhypertexte">
    <w:name w:val="Hyperlink"/>
    <w:rsid w:val="00FD2F58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2066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5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58"/>
    <w:rPr>
      <w:rFonts w:ascii="Arial" w:eastAsia="Times" w:hAnsi="Arial" w:cs="Times New Roman"/>
      <w:noProof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FD2F58"/>
  </w:style>
  <w:style w:type="paragraph" w:styleId="En-tte">
    <w:name w:val="header"/>
    <w:basedOn w:val="Normal"/>
    <w:link w:val="En-tteCar"/>
    <w:rsid w:val="00FD2F5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character" w:customStyle="1" w:styleId="En-tteCar">
    <w:name w:val="En-tête Car"/>
    <w:basedOn w:val="Policepardfaut"/>
    <w:link w:val="En-tte"/>
    <w:rsid w:val="00FD2F58"/>
    <w:rPr>
      <w:rFonts w:ascii="Arial" w:eastAsia="Times" w:hAnsi="Arial" w:cs="Times New Roman"/>
      <w:noProof/>
      <w:color w:val="404040"/>
      <w:sz w:val="22"/>
      <w:szCs w:val="20"/>
      <w:lang w:val="de-DE"/>
    </w:rPr>
  </w:style>
  <w:style w:type="paragraph" w:styleId="Pieddepage">
    <w:name w:val="footer"/>
    <w:basedOn w:val="Normal"/>
    <w:link w:val="PieddepageCar"/>
    <w:semiHidden/>
    <w:rsid w:val="00FD2F58"/>
    <w:pPr>
      <w:tabs>
        <w:tab w:val="center" w:pos="4703"/>
        <w:tab w:val="right" w:pos="9406"/>
      </w:tabs>
    </w:pPr>
    <w:rPr>
      <w:color w:val="404040"/>
    </w:rPr>
  </w:style>
  <w:style w:type="character" w:customStyle="1" w:styleId="PieddepageCar">
    <w:name w:val="Pied de page Car"/>
    <w:basedOn w:val="Policepardfaut"/>
    <w:link w:val="Pieddepage"/>
    <w:semiHidden/>
    <w:rsid w:val="00FD2F58"/>
    <w:rPr>
      <w:rFonts w:ascii="Arial" w:eastAsia="Times" w:hAnsi="Arial" w:cs="Times New Roman"/>
      <w:noProof/>
      <w:color w:val="404040"/>
      <w:sz w:val="20"/>
      <w:szCs w:val="20"/>
      <w:lang w:val="fr-FR"/>
    </w:rPr>
  </w:style>
  <w:style w:type="paragraph" w:customStyle="1" w:styleId="Tabellerechtsbndigfett">
    <w:name w:val="Tabelle rechtsbündig fett"/>
    <w:basedOn w:val="Normal"/>
    <w:rsid w:val="00FD2F58"/>
    <w:pPr>
      <w:jc w:val="right"/>
    </w:pPr>
    <w:rPr>
      <w:b/>
    </w:rPr>
  </w:style>
  <w:style w:type="paragraph" w:customStyle="1" w:styleId="Einzug">
    <w:name w:val="Einzug"/>
    <w:basedOn w:val="Normal"/>
    <w:rsid w:val="00FD2F58"/>
    <w:pPr>
      <w:numPr>
        <w:numId w:val="1"/>
      </w:numPr>
    </w:pPr>
    <w:rPr>
      <w:rFonts w:eastAsia="Times New Roman"/>
      <w:szCs w:val="24"/>
      <w:lang w:val="de-CH" w:eastAsia="de-DE"/>
    </w:rPr>
  </w:style>
  <w:style w:type="character" w:styleId="Lienhypertexte">
    <w:name w:val="Hyperlink"/>
    <w:rsid w:val="00FD2F58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2066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5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ne-marie.kolly@fr.educanet2.ch" TargetMode="External"/><Relationship Id="rId9" Type="http://schemas.openxmlformats.org/officeDocument/2006/relationships/hyperlink" Target="mailto:Danielle.chenaux@fr.educanet2.ch" TargetMode="External"/><Relationship Id="rId10" Type="http://schemas.openxmlformats.org/officeDocument/2006/relationships/hyperlink" Target="http://www.friportail.ch/page/creative-commons-nc-s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818</Words>
  <Characters>4503</Characters>
  <Application>Microsoft Macintosh Word</Application>
  <DocSecurity>0</DocSecurity>
  <Lines>37</Lines>
  <Paragraphs>10</Paragraphs>
  <ScaleCrop>false</ScaleCrop>
  <Company>cog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Danielle Chenaux</cp:lastModifiedBy>
  <cp:revision>24</cp:revision>
  <cp:lastPrinted>2013-02-13T13:54:00Z</cp:lastPrinted>
  <dcterms:created xsi:type="dcterms:W3CDTF">2013-01-11T15:14:00Z</dcterms:created>
  <dcterms:modified xsi:type="dcterms:W3CDTF">2013-12-19T08:04:00Z</dcterms:modified>
</cp:coreProperties>
</file>